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2C" w:rsidRDefault="00BC161C">
      <w:r>
        <w:t>Załączni</w:t>
      </w:r>
      <w:r w:rsidR="00753A0E">
        <w:t>k nr 5 – wymagania edukacyjne na poszczególne oceny- klasa VII</w:t>
      </w:r>
      <w:r w:rsidR="004F1C6A">
        <w:t>I</w:t>
      </w:r>
      <w:r w:rsidR="00753A0E">
        <w:t xml:space="preserve"> szkoły podstawowej</w:t>
      </w:r>
    </w:p>
    <w:p w:rsidR="00BC161C" w:rsidRDefault="00BC161C" w:rsidP="00BC161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Wymagania edukacyjne na poszczególne oceny </w:t>
      </w:r>
      <w:r>
        <w:rPr>
          <w:rFonts w:ascii="Times New Roman" w:hAnsi="Times New Roman" w:cs="Times New Roman"/>
          <w:b/>
          <w:sz w:val="20"/>
          <w:szCs w:val="20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0"/>
        </w:rPr>
        <w:t>NOWE</w:t>
      </w:r>
      <w:r w:rsidR="00753A0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Słowa na start!</w:t>
      </w:r>
      <w:r>
        <w:rPr>
          <w:rFonts w:ascii="Times New Roman" w:hAnsi="Times New Roman" w:cs="Times New Roman"/>
          <w:b/>
          <w:sz w:val="20"/>
          <w:szCs w:val="20"/>
        </w:rPr>
        <w:t xml:space="preserve"> klasa 8</w:t>
      </w:r>
    </w:p>
    <w:p w:rsidR="00BC161C" w:rsidRDefault="00BC161C" w:rsidP="00BC161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161C" w:rsidRDefault="00BC161C" w:rsidP="00BC16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Prezentowane wymagania edukacyjne są zintegrowane z planem wynikowym autorstwa Magdaleny </w:t>
      </w:r>
      <w:proofErr w:type="spellStart"/>
      <w:r>
        <w:rPr>
          <w:rFonts w:ascii="Times New Roman" w:hAnsi="Times New Roman" w:cs="Times New Roman"/>
          <w:sz w:val="20"/>
          <w:szCs w:val="20"/>
        </w:rPr>
        <w:t>Lotterhoff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będącym propozycją realizacji materiału zawartego w podręczniku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Nowe Słowa na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start!</w:t>
      </w:r>
      <w:r>
        <w:rPr>
          <w:rFonts w:ascii="Times New Roman" w:hAnsi="Times New Roman" w:cs="Times New Roman"/>
          <w:sz w:val="20"/>
          <w:szCs w:val="20"/>
        </w:rPr>
        <w:t>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klasie 8. Wymagania dostosowano do sześciostopniowej skali ocen.</w:t>
      </w:r>
    </w:p>
    <w:p w:rsidR="00BC161C" w:rsidRDefault="00BC161C" w:rsidP="00BC161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7"/>
        <w:gridCol w:w="2357"/>
        <w:gridCol w:w="2357"/>
        <w:gridCol w:w="2357"/>
        <w:gridCol w:w="2358"/>
        <w:gridCol w:w="2361"/>
      </w:tblGrid>
      <w:tr w:rsidR="00BC161C" w:rsidTr="00BC161C">
        <w:trPr>
          <w:trHeight w:val="106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dopuszczająca)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dostateczna)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dobra)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bardzo dobra)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(ocena celująca)</w:t>
            </w: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161C" w:rsidRDefault="00BC16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 w społeczeństwie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obraz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wymienićbarwy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użyte przez malarza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zastosowanych przez malarza proporcji pomiędzy ludźmi a budynkami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barw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sposób ukazania społeczności miejskiej na obrazie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wyrazić swoją opinię na temat obrazu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obraz z innymi tekstami kultury przedstawiającymi miasto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Twórca i jego czasy.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Melchior Wańkowicz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elementy biografii Melchiora Wańkowicza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elementy autobiograficzne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książce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Ziele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 kraterze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o wydarzeniach historycznych współczesnych autorowi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tropach tradycji – Melchior Wańkowicz,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Ziele na kraterze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bohaterów fragmentu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obu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prezentacji dworu pana Pisanki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świat znikający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polskiej szlachty z punktu widzenia narratora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opis interesującego miejsca w swoim regionie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Odpowiedzialność za słowo – Melchior Wańkowicz,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Tędy i owędy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reportaż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bohaterów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zadania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researchera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scharakteryzować bohaterów fragmentu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sposób pracy dziennikarzy w czasopiśmie „Time”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wyliczyć i omówić problemy,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którymizetknęła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 Marta podczas wykonywania powierzonego zadania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sformułowaną przez ojca Marty puentę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wyrażenia środowiskowe, wyjaśnić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ich znaczenia i określić ich funkcje w tekście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podjąć dyskusję na temat rzetelnych źródeł informacji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razem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literacki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zwrotów do adresata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emocje wyrażane przez podmiot liryczny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tworzące atmosferę spotkania bliskich osób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skontrastowania dwóch przestrzeni: na zewnątrz i w środku przy stole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swoje spostrzeżenia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dotyczącetworzenia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atmosfery podczas spotkania bliskich sobie osób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spotkania bliskich w wybranym tekście kultury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Ludzie wobec ludzi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 rodzaj liryki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w imieniu jakiej zbiorowości wypowiada się podmiot liryczny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tytułowych ludożerców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zabieg stylistyczny zastosowany na początku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użycia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zakończenie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wymowę wiersza do rzeczywistości codziennej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„ludożerców” w codziennej rzeczywistości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Czy każdy ma w sobie ludożercę?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Stereotypy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treść wywiadu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przynależność tekstu do gatunku prasowego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w jaki sposób powstają stereotypy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omówić, w jaki sposób stereotypy wpływają na nasze zachowanie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sytuacje, w jakich stereotypy mogą być groźne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rolę indywidualnych kontaktów w zwalczaniu stereotypów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znaczenie wyrażenia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mentalne szufladki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elementy omówione w wywiadzie w rzeczywistości codziennej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 omówić teksty kultury prezentujące stereotypowe traktowanie jakiejś grupy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Wykluczona – wpływ stereotypów na relacje między dziećmi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fragment powieści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czas i przestrzeń akcji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bohaterki występujące we fragmencie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opisać relacje pomiędzy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Jaelle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innymi uczennicami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dlaczego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Jaelle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 chciała się upodobnić do rówieśniczek ze szkoły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stereotypy dotyczące społeczności romskiej przedstawione we fragmencie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zdobyte za pomocą różnych źródeł informacje na temat społeczności romskiej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problemów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zaakceptowaniem czyjejś inności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wypowiedzieć swoje zdanie na temat przyczyn wrogości wobec obcych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wybrany stereotyp narodowy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inny tekst kultury podejmujący temat Romów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Czasy nietolerancji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faszyzm, rasizm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czasu i miejsca akcji dla wymowy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postaci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Jessego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Owensa we fragmencie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przyczynę reakcji ojca na zachowanie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dialog pomiędzy ojcem a synem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funkcję dziecięcej naiwności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Rudy’ego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wymowy fragmentu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zaprezentować sylwetkę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Jessego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Owensa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dowolnych źródeł opracować kontekst historyczny fragmentu utworu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Być człowiekiem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aforyzm, fraszka, paradoks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przynależność gatunkową utworów Jana Sztaudyngera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sentencji Stanisława Jerzego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Leca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prawdy życiowe zawarte we fraszkach Jana Sztaudyngera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zbioru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paradoksy we fraszkach Jana Sztaudyngera i omówić je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uniwersalne prawdy zawarte w aforyzmach i fraszkach do swojego doświadczenia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odzwierciedlenie jednej z prawd zawartych we fraszkach lub aforyzmach w wybranym tekście kultury i omówić dostrzeżony związek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 i 13.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Perswazja – sztuka językowego wywierania wpływu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perswazja, apel, sugestia, uzasadnienie, negocjacje, reklama, manipulacja, etyka słowa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wypowiedzi perswazyjnej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fazy negocjacji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sposoby nakłaniania w reklamie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etyki słowa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podanych tekstach apel, sugestię i uzasadnienie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sposoby manipulacji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reklamy, które nakłaniają odbiorcę do konkretnego działania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wypowiedzi wykorzystujące manipulację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skomponować wypowiedź perswazyjną na zadany temat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hasła reklamowe pod kątem adresata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wybrane reklamy pod kątem zabiegów manipulacyjnych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przeprowadzić negocjacje zgodnie z podanym schematem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ułożyć hasła reklamowe, nakłaniające do konkretnego działania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reklamach i wypowiedziach polityków elementy manipulacji i zanalizować je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wygłosić publicznie mowę perswazyjną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Słowo pisane – historia, charakterystyka,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funkcja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przedstawić najważniejsze wydarzenia z historii piśmiennictwa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gatunki wypowiedzi prasowej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podzielić wypowiedzi pisemne na kategorie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rozpoznać gatunki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wypowiedzi prasowej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język prasy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dobrego tekstu prasowego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tekst prasowy według podanych kryteriów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wad i zalet publikacji drukowanych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elektronicznych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grzeczności w języku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porozumiewania się w grzeczny sposób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formy grzecznościowe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dopasować słowa i zwroty grzecznościowe do adresata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wypowiedzi, w których zostały złamane zasady grzeczności w języku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wypowiedzi dostosowane do adresata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oficjalną mowę na zadany temat, uwzględniając wszystkie zasady grzeczności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16., 17.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Różne odmiany polszczyzny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odmiany polszczyzny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odmianą oficjalną a nieoficjalną polszczyzny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wyartykułować podane wyrazy zgodnie z normą wzorcową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zaakcentować podane wyrazy zgodnie z normą wzorcową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wypowiedzi należące do oficjalnej i nieoficjalnej odmiany języka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sytuacje, w których można stosować nieoficjalną formę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języka,oraz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takie, w których należy stosować formę oficjalną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różnice pomiędzy normą wzorcową a normą użytkową języka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wypowiedzi zgodne z normą wzorcową i normą użytkową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wypowiedzi zgodne z wzorcową odmianą języka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wybrane przez siebie wypowiedzi publicystyczne pod kątem zgodności z normami językowymi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literatura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faktu, stereotyp, aforyzm, fraszka, formy grzecznościowe, polszczyzna ogólna, odmiana oficjalna, odmiana nieoficjalna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Niepokoje egzystencjalne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zostało przedstawione na obrazie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krajobraz roztaczający się przed bohaterem obrazu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sposób przedstawienia bohatera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barw dla wymowy obrazu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wymowę obrazu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obraz Caspara Davida Friedricha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Jan Kochanowski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renesans, humanizm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Jana Kochanowskiego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twórczość Jana Kochanowskiego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okoliczności powstania cyklu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charakterystyczne renesansu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specyfikę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Jana Kochanowskiego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 kontekście biografii i twórczości Jana Kochanowskiego omówić rzeźbę Zygmunta Trembeckiego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21., 22.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Wobec śmierci – o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Trenach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Jana Kochanowskiego 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tren, porównanie homeryckie, puenta, przenośnia, symbol, peryfraza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trenów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 każdego z utworów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adresatów wymienionych na początku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Trenu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VIII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cechy Urszulki przywołane przez podmiot liryczny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Trenie VIII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funkcję apostrofy rozpoczynającej utwór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określić jego funkcję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określić jego funkcję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przyczynę przywołania Persefony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odwołania do ubiorów córki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wykrzyknienia w puencie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metaforyczne znaczenie smoka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pytania retorycznego w zakończeniu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metaforyczne znaczenie oliwki i sadownika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pytania retorycznego w puencie utworu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zdrobnień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dwojakie znaczenie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skrzynka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użytego utworze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Tren VIII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kontrastu w ukazaniu domu: przed i po śmierci Urszuli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puenty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omówione treny i wyrazić swoją opinię na temat zawartego w nich ładunku emocjonalnego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tekst kultury, w którym została przedstawiona strata bliskiej osoby, i porównać go z utworami Jana Kochanowskiego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zaświatach – kontekst interpretacyjny do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Trenów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zrelacjonować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podmiot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liryczny w wierszu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opisać sytuację liryczną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podmiotu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lirycznego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wizję zaświatów przedstawioną w wierszu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peryfrazę i określić jej funkcję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sposób, w jaki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został przedstawiony Bóg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zinterpretować puentę wiersza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uniwersalnej prawdy o człowieku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zawartej w wierszu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wizje zaświatów przedstawione w wybranych tekstach kultury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Tęsknota pielgrzyma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hymn, refren, anafora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nazwać emocje towarzyszące podmiotowi lirycznemu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adresata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miejsce, w którym znajduje się podmiot liryczny oraz jego położenie względem domu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obraz Boga wyłaniający się z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przyczyny smutku podmiotu lirycznego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refrenu i anafory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wiersza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i konsekwencji emigracji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do Boga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narrację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temat przewodni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prawdziwości opowieści snutych przez panią Różę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listu we fragmencie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spekulacje na temat celu, w jakim pani Róża opowiada Oskarowi historie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łączące Oskara z panią Różą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języka, jakim posługują się bohaterowie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Korzyści z przemijania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stały związek frazeologiczny użyty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wierszu i omówić jego funkcję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postawić tezę interpretacyjną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postawę podmiotu lirycznego wobec otaczającej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rzeczywistości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środków stylistycznych użytych w wierszu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zinterpretować sposób ukazania przemijania w wierszu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zanalizować obraz miłości przedstawiony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wierszu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różne sposoby przedstawienia motywu przemijania w tekstach kultury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27.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Przepis na życie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ironia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stosunek osoby mówiącej do formułowanych wskazówek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 wierszu ironię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funkcje użytych środków stylistycznych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osoby, która stosowałaby się do wymienionych porad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rzeczywisty katalog zasad, którymi powinien się kierować człowiek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konsekwencji postawy nonkonformistycznej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opinii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opinia, informacja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zasady, które powinny być przestrzegane podczas wyrażania opinii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różnicę pomiędzy opinią a informacją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informację od opinii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sporządzić notatkę zawierającą informacje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opinie wraz z uzasadnieniem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rPr>
          <w:trHeight w:val="170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rozwój muzyki na poszczególnych etapach historii kultury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języka muzyki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muzyki rozrywkowej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rolę muzyki w wybranym filmie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utwór muzyczny na podstawie podanych kryteriów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zastosować elementy języka muzyki do analizy wybranego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prezentację na temat ulubionego muzyka bądź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gatunkumuzyki</w:t>
            </w:r>
            <w:proofErr w:type="spellEnd"/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muzyki etnicznej charakterystycznej dla swojego regionu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Języki środowiskowe i zawodowe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języki środowiskowe, języki zawodowe, kolokwializmy,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profesjonalizmy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języki środowiskowe od języków zawodowych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kolokwializmy w podanym tekście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przykłady języków środowiskowych języków i zawodowych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gwary uczniowskiej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podane rodzaje języków środowiskowych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dłuższą wypowiedź ustną zawierającą elementy wybranego języka środowiskowego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Dialekty i gwary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dialekt, gwara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istniejące w Polsce dialekty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gwarą a dialektem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 podanych przykładach wskazać różnice pomiędzy gwarą a językiem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ogólnonarodowym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przekształcić tekst gwarowy na ogólnopolski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minisłownik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wybranej gwary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32.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stylu wypowiedzi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style funkcjonujące w polszczyźnie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podstawową zasadę dobrego stylu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każdego ze stylów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szczegółowe zasady dobrego stylu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styl podanej wypowiedzi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stylistyczne w podanym tekście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tekst w wybranym stylu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33. , 34.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porównanie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homeryckie, tren, peryfraza, wyrażanie opinii, języki środowiskowe, języki zawodowe, dialekty, gwara, style wypowiedzi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Wzorce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wzorzec, kompozycja fotografii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znajduje się na zdjęciu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zdjęcia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pracy lekarza, które zostały wyeksponowane na zdjęciu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swoją opinię na temat fotografii i uzasadnić ją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kim był Zbigniew Religa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Aleksander Kamiński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harcerstwo, literatura podziemna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Aleksandra Kamińskiego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twórczości Aleksandra Kamińskiego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genezę powstania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znaczenie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współczesnych autorowi odbiorców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literatury podziemnej w okupowanej Polsce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Style w:val="Odwoaniedokomentarz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37., 38., 39., 40., 41.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Aleksander Kamiński,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Kamienie na szaniec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okupacja, Szare Szeregi, sabotaż, dywersja,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literatura faktu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książki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określićrodzaj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narracji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przebieg akcji pod Arsenałem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we fragmencie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rzeczywistość okupowanej Warszawy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i scharakteryzować bohaterów pierwszoplanowych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perypetie bohaterów działających w małym sabotażu i w dywersji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Rudy czuł się szczęśliwy pomimo dojmującego bólu i świadomości zbliżającej się śmierci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wypowiedzieć się na temat specyfiki pokolenia, do którego należeli bohaterowie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gawędy harcerskiej i literatury faktu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 kontekście danego fragmentu utworu zinterpretować tytuł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celowości przeprowadzenia akcji pod Arsenałem w świetle jej skutków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ówczesnego i współczesnego rozumienia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patriotyzm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porównać sposób ukazania akcji pod Arsenałem oraz jej skutków w książce Aleksandra Kamińskiego oraz w filmie w reżyserii Roberta Glińskiego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42., 43.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Twardy charakter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alianci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Kazimierza Daszewskiego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gatunkowe utworu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postawy Kazimierza Daszewskiego oraz bohaterów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Geniusz czarodziejski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słabe i mocne strony charakteru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Steve’a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Jobsa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stosunek autora tekstu do opisywanego bohatera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pożądanych cech lidera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wybraną postać, która wykazuje cechy dobrego lidera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można być świętym?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apostrofa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adresatów wiersza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podmiotu lirycznego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 i określić ich funkcję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sylwetkę św. Franciszka z Asyżu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Zbuntowany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idealizm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określićstany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emocjonalne rozmawiających postaci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powody wydalenia bohatera 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szkoły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stosunek bohatera do rzeczywistości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bohaterze cechy idealisty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marzenie chłopaka dotyczące jego przyszłości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wybrane dzieło filmowe przedstawiające motyw buntu młodych ludzi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47.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Ratować innych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czym dla bohatera wywiadu jest rodzina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obyczajowości strażaków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wartości, jakimi kierowali się strażacy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konsekwencje, jakie poniósł Stanisław Trojanowski w wyniku akcji ratowniczej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rozmowę strażaka z synem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przybliżyć wydarzenia,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którerozegrały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Nowym Jorku 11 września 2001 roku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co nam autorytety?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treść wywiadu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wyliczyć zasady, którymi warto się kierować podczas poszukiwania autorytetu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autorytetem a guru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rolę autorytetu we współczesnym świecie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wywiad pod kątem sposobu zadawania pytań przez dziennikarkę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współczesnych autorytetów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traktowania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celebrytów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jako autorytety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swój autorytet i uzasadnić wybór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49., 50.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Sprawozdanie z filmu i spektaklu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które powinny się znaleźć we wstępie, w rozwinięciu i w zakończeniu sprawozdania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plan sprawozdania ostatnio obejrzanego filmu lub spektaklu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wyselekcjonować informacje przydatne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sporządzeniasprawozdania</w:t>
            </w:r>
            <w:proofErr w:type="spellEnd"/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pisemne sprawozdanie z filmu bądź spektaklu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51., 52.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Recenzja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recenzja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recenzję od sprawozdania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plan recenzji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wyselekcjonować informacje przydatne do sporządzenia recenzji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poszczególne elementy dzieła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recenzję wybranego filmu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Telewizja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etapy rozwoju telewizji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momenty przełomowe w rozwoju telewizji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gatunków telewizyjnych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wybrane programy telewizyjne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specyfikę języka przekazu telewizyjnego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wybrany program telewizyjny według podanych kryteriów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różne przykłady tego samego gatunku telewizyjnego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roli telewizji w życiu swoich rówieśników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jakości i funkcji reklam telewizyjnych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przygotować prezentację na temat swojego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ulubionego serialu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54.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i zakres wyrazu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treść wyrazu, zakres wyrazu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odróżnić treść od zakresu wyrazu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zależność pomiędzy treścią a zakresem wyrazu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treść i zakres wyrazu w podanych przykładach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podane wyrazy zastąpić słowami o bogatszej treści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podane wyrazy zastąpić słowami o szerszym zakresie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Rodzaje wyrazów ze względu na znaczenie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synonim, antonim, homonim, wyraz wieloznaczny, eufemizm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zastąpić podane wyrazy synonimami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podać antonimy do danych wyrazów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różnice pomiędzy wyrazami wieloznacznymi a homonimami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podanych eufemizmów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różne znaczenia danych wyrazów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Neologizmy i archaizmy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rodzaje neologizmów i zapożyczeń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neologizmy na kategorie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neologizmy w tekście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podanych neologizmów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archaizmy w przysłowiach i wyjaśnić ich znaczenie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57., 58.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wojenna literatura faktu, apostrofa, sprawozdanie z filmu i spektaklu, recenzja, synonimy, antonimy, homonimy, wyrazy wieloznaczne, neologizmy, archaizmy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Polskość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informacje na temat Wystaw Światowych EXPO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Pawilon Polski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tradycyjne i nowoczesne elementy Pawilonu Polskiego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określić związek wzornictwa budynku z Polską i polskością</w:t>
            </w:r>
          </w:p>
          <w:p w:rsidR="00BC161C" w:rsidRDefault="00BC161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wypowiedzieć się na temat wartości związanych z polskością,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jakie warto promować za granicą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60.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Twórca i jego czasy. Adam Mickiewicz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szlachta, Wielka Emigracja, epopeja narodowa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Adama Mickiewicza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twórczość Adama Mickiewicza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genezę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cechy epopei obecne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Panu Tadeuszu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zanalizować obraz Dietricha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Montena</w:t>
            </w:r>
            <w:proofErr w:type="spellEnd"/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61., 62., 63., 64., 65. i 66.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 Mickiewicz,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 Tadeusz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szlachta, dworek szlachecki, komizm, ironia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adresatów inwokacji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obyczaje szlacheckie opisane w utworze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strukturę społeczną szlachty polskiej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Jacka Soplicę, Hrabiego, Sędziego i Gerwazego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wydarzenia historyczne przywołane w koncercie Jankiela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gatunkowe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wskazać, w jaki sposób inwokacja nawiązuje do tradycji eposu homeryckiego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sposobu przedstawienia społeczności dobrzyńskiej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komizm w sposobie przedstawienia niektórych bohaterów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sposób przedstawienia ojczyzny w inwokacji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elementy wystroju dworku szlacheckiego w kontekście tradycji i patriotyzmu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zalet i wad szlachciców przedstawionych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częste pojawianie się w utworze słowa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ostatni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historyczny, w jakim powstało dzieło, oraz kontekst historyczny wydarzeń przedstawionych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określenia dzieła Mickiewicza epopeją narodową, skoro opisana została tam tylko jedna warstwa społeczna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tekst Adama Mickiewicza z reżyserską wizją Andrzeja Wajdy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67.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 patriotyzm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martyrologia, postawa obywatelska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nowoczesnego patriotyzmu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źródła tradycyjnego pojmowania patriotyzmu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patriotyzm tradycyjny i patriotyzm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nowoczesny w kontekście współczesnej rzeczywistości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sformułować definicję współczesnego patriotyzmu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postaw patriotycznych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68.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czasy. Stefan Żeromski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Stefana Żeromskiego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okoliczności powstania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Syzyfowych prac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tematy poruszane w utworze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społeczno-historyczny twórczości Żeromskiego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69., 70., 71., 72., 73.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Stefan Żeromski,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fragment powieści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zabory, rusyfikacja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powieści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Bernarda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Zygiera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Marcina Borowicza i Andrzeja Radka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metody rusyfikacji przedstawione w powieści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przyczyn lekceważenia przez uczniów lekcji języka polskiego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sytuację społeczeństwa polskiego po powstaniu styczniowym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sposoby walki z rusyfikacją przedstawione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i zanalizować reakcje uczniów na recytację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Reduty Ordona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skutki zabiegów rusyfikacyjnych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postawy członków polskiej społeczności wobec działań zaborców i zanalizować ich przyczyny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potrzeby zachowywania tożsamości narodowej 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moim domem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superbohater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Kapitana Polski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pochodzenie nazwy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Kapitan Polska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Polski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funkcję nawiązania do wydarzeń z historii Afryki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przedstawionego w utworze Kapitana Polskę do Kapitana Ameryki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Oczami obcokrajowca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rytuały związane z polską gościnnością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różnice pomiędzy mentalnością niemiecką a polską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temat stylu fragmentu utworu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zanalizować przyczyny komizmu poszczególnych fragmentów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różnic w mentalności przykładowych narodowości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podjąć dyskusję na temat stereotypowego postrzegania mentalności innych narodowości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76.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Tęsknota za Polską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emigracja, mała ojczyzna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piosenki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rzeczywistość londyńską i lwowską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wyrazy nacechowane emocjonalnie i omówić ich funkcję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funkcję użycia regionalizmów w utworze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przesłanie utworu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przytoczyć i omówić wybrany tekst kultury poruszający temat małej ojczyzny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77., 78. i 79.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Przemówienie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różnych rodzajów przemówień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niezbędne do przygotowania przemówienia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elementy, z których powinno się składać dobrze skomponowane przemówienie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przygotować plan przemówienia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wyliczyć strategie zdobycia przychylności słuchaczy, sposoby prezentacji argumentów i formułowania zakończenia przemówienia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przykładowe przemówienia pod kątem tematu i stosowanych strategii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wygłosić przemówienie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80.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Komiks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historię komiksu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język komiksu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różnice pomiędzy komiksem amerykańskim a komiksem europejskim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wybrany komiks i ocenić go według podanych kryteriów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wybrane komiksy i ocenić je według podanych kryteriów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projekt komiksu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film inspirowany komiksem i omówić jego specyfikę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81. i 82.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Odmienne części mowy – powtórzenie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odmienne części mowy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odmienne części mowy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 cechy charakterystyczne deklinacji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trudnychrzeczowników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nieosobowe formy czasownika w tekście i określić je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właściwej deklinacji rzeczowników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odmienić i stopniować przymiotniki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właściwie określić formy czasownika osobowego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określićformy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zaimków i poprawnie je stosować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nazywać rodzaje liczebników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Nieodmienne części mowy – powtórzenie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nieodmienne części mowy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nieodmienne części mowy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spójniki, przed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którymi stawiamy przecinek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przysłówki, które podlegają stopniowaniu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nieodmienne części mowy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84.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Pisownia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części mowy pisane łącznie z partykułą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wskazać, które części mowy pisze się rozdzielnie z partykułą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zastosować poznane zasady w praktyce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skorygować tekst pod względem pisowni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partykuły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tekst, stosując różne części mowy z partykułą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85., 86.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przemówienie, odmienne części mowy, nieodmienne części mowy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wykorzystać najważniejsze konteksty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kadr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widzi na fotografii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kadru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fantastyczne na fotografii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kolorystykę i światło na fotografii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kadru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filmu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Kraina jutra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Prawdziwa utopia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panujące w Utopii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funkcjonujący w Utopii system społeczny ze znanym mu rzeczywistym systemem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tego, dlaczego do rzeczywistości codziennej nie można wprowadzić systemu obowiązującego w Utopii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życia w świecie idealnym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Moralność a prawo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antyutopia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sytuację, w której znalazła się bohaterka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sprawowania władzy w Panem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na czym polega dylemat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Katniss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antyutopii w opisywanym świecie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jaką funkcję pełnią Głodowe Igrzyska w świecie Panem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różnych form antyutopii przedstawionych w tekstach kultury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90.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Utopia a szczęście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społeczność Następnych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stosunek bohaterów do Następnych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zachowanie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 koniec fragmentu utworu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pozytywne i negatywne aspekty sposobu życia w Zagrodzie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opowiadanie, opisujące jeden dzień w Zagrodzie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zacytowanego przez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zdania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91.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Idealne społeczeństwo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alegoria, utopia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Boxera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zachowanie kota i klaczy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utopii w początkowym opisie farmy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przyczyny dystansu osła Benjamina w stosunku do powszechnego szczęścia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knura Napoleona dla wymowy fragmentu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plakat filmowy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analogie pomiędzy historią Rosji sowieckiej a wydarzeniami opisanymi w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Folwarku zwierzęcym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Odzyskać raj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środków stylistycznych użytych w wierszu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próśb podmiotu lirycznego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tekst kultury opisujący sposób postrzegania świata przez osobę pogrążoną w żałobie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Człowiek idealny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science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fiction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fragment powieści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na czym polegał eksperyment opisany we fragmencie oraz dlaczego się nie powiódł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cechy pozwalające zaliczyć powieść do gatunku science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fiction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czynników kształtujących charakter człowieka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wyjaśnia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genetyka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 filmowy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didaskalia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wchodzące w skład scenariusza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wybrać scenę z dowolnej książki, która nadaje się na scenariusz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nagłówki scen i wskazówki sceniczne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przekonujące dialogi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nadać gotowemu scenariuszowi odpowiedni kształt graficzny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Film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przedstawić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najważniejsze momenty w historii kina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kadr, plan filmowy, ujęcie, scena, montaż, scenariusz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podać przykłady filmów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należących do poszczególnych gatunków filmowych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wskazać w wybranych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filmach cechy klasyfikujące je do poszczególnych gatunków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zanalizować język filmu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wybranym dziele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ocenić wybrane dzieło filmowe według podanych kryteriów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przygotować prezentację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temat wybranej postaci związanej z filmem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scenariusz filmowy spełniający wymogi wybranej konwencji gatunkowej 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96., 97.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Wypowiedzenie i jego części – powtórzenie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główne i drugorzędne części zdania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wypowiedzenia na zdania i równoważniki zdań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równoważniki zdań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podmiot i orzeczenie w zdaniu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tekście drugorzędne części zdania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właściwy szyk przydawki w zdaniu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uzupełnić zdania przydawkami w odpowiednim szyku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rozbioru logicznego zdania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98., 99.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Zdanie złożone i zdanie wielokrotnie złożone – powtórzenie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zdań podrzędnie złożonych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zdań współrzędnie złożonych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w imiesłowowe równoważniki zdania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rodzaje zdań złożonych podrzędnie i współrzędnie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stosowania przecinka w zdaniach złożonych współrzędnie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pojedyncze w zdania złożone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zdania złożone współrzędnie na zdania składowe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przeredagować tekst ze zbyt rozbudowanymi zdaniami złożonymi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sporządzić wykres zdania złożonego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100., 101.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posłużyć się terminami i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alegoria, scenariusz filmowy, części zdania, wypowiedzenie, wypowiedzenie złożone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102.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Życiowe wybory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mural, motyw biblijny, street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mural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motyw biblijny, do którego nawiązuje dzieło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symbolikę barw użytych przez artystkę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tytuł muralu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dzieła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wybrany przykład street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artu</w:t>
            </w:r>
            <w:proofErr w:type="spellEnd"/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103.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czasy. Henryk Sienkiewicz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Henryka Sienkiewicza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genezę powieści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twórczości Henryka Sienkiewicza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kontekst powstania powieści historycznych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recepcję powieści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104., 105., 106., 107., 108.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Henryk Sienkiewicz,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vadis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pierwsi chrześcijanie, Cesarstwo Rzymskie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powieść historyczna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powieści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określićrodzaj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Winicjusza i Petroniusza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wartości najważniejsze dla Rzymian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powieści historycznej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pierwszoplanowych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obyczajowość starożytnych Rzymian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emocje, które targały Winicjuszem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konsekwencje, z którymi wiązał się wybór religii chrześcijańskiej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życia pierwszych chrześcijan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przyczyny, przebieg i konsekwencje pożaru Rzymu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opisaćprzemianę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wewnętrzną Winicjusza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fragmentu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wiarę Rzymian i chrześcijan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 całości utworu: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dwa sposoby pojmowania miłości w ujęciu antycznym i chrześcijańskim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wybraną adaptację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Quo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vadis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poświęcenia życia dla idei, w którą się wierzy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pierwszych chrześcijan ze współczesnymi wyznawcami Jezusa z Nazaretu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dzieło. Sławomir Mrożek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emigracja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Sławomira Mrożka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tematy, którymi Sławomir Mrożek zajmował się w swojej twórczości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twórczości artysty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zaprezentować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relacjeprzebywającego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emigracji Mrożka z krajem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opisywania rzeczywistości w dziełach artysty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110.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kimś innym.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Sławomir Mrożek,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Artysta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opowiadania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postawę Koguta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skomentować zachowanie Lisa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alegoryczne znaczenie występujących postaci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komizmu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postawę Koguta do wyobrażenia na temat artysty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morał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sposobu postrzegania artystów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utwór Sławomira Mrożka z wybraną bajką zwierzęcą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111.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wyboru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pokolenie, tragizm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jak podmiot liryczny wyobraża sobie swoja przyszłość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środków stylistycznych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kontrastów w wierszu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na czym polegał tragizm pokolenia, do którego należał Krzysztof Kamil Baczyński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sensu umierania za „wielkie sprawy”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wybrany tekst kultury dotyczący tragizmu pokolenia, do którego należał Krzysztof Kamil Baczyński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112.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Trudna sytuacja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nazwać rodzaj narracji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Alicję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pomiędzy Alicją a Klaudią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przyczyny buntu Alicji wobec zaistniałej sytuacji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reakcje bohaterów fragmentu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utworuna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zaistniałą sytuację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reakcji na sytuacje niezależne od nas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Iść własną drogą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marzenie, los, Własna Legenda, przypowieść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Król Salem przybył do młodzieńca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przypowieści we fragmentach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człowieka kierującego się Własną Legendą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uniwersalną prawdę o człowieku przedstawioną we fragmencie utworu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tego, co kieruje ludzkim życiem: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wolnywybór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przypadek czy los?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warto się buntować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 użyte w utworze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relację pomiędzy podmiotem lirycznym a światem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środków stylistycznych użytych w utworze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konsekwencje buntu przedstawione w wierszu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przesłanie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konsekwencji zachowania „postawy wyprostowanej”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podanie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które powinny się znaleźć na podaniu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argumenty przydatne do uzasadnienia prośby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błędnie napisane podanie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napisać podanie w zeszycie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oficjalne podanie przy użyciu komputera z prośbą o przyjęcie do szkoły ponadpodstawowej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116.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historię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gatunki wypowiedzi internetowych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 związane z rzeczywistością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przyczynę popularności konkretnych serwisów internetowych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język wypowiedzi internetowych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wybrany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blog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korzyści i zagrożenia związane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internetem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wypowiedź internetową według podanych kryteriów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sposobów chronienia prywatności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internecie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swoje wyobrażenia na temat przyszłości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117., 118.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Fonetyka – powtórzenie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głoska, litera, ubezdźwięcznienie, udźwięcznienie, uproszczenie grupy spółgłoskowej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podział głosek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poprawnego akcentowania w języku polskim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rodzaje głosek na przykładach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podzielić wyrazy na sylaby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wyrazy, w których nastąpiło uproszczenie grupy spółgłoskowej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upodobnienia wewnątrzwyrazowe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podziale wyrazów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zaakcentować wyrazy stanowiące wyjątek od powszechnej reguły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kierunek upodobnienia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skorygować błędy w akcentowaniu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119., 120.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Słowotwórstwo – powtórzenie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wyraz podstawowy, wyraz pochodny, temat słowotwórczy, formant, przedrostek, przyrostek, wrostek, formant zerowy, oboczność, rodzina wyrazów, rdzeń, wyraz pokrewny, oboczność, złożenia, zrosty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kategorie słowotwórcze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podanych wyrazów pochodnych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utworzyć przymiotniki od rzeczowników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przyporządkować wyraz pochodny do kategorii słowotwórczej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wyrazy należące do jednej rodziny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podanych parach wyrazów wyraz podstawowy i wyraz pochodny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formant w wyrazie pochodnym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podkreślić w rodzinie wyrazów rdzeń i wskazać oboczności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złożenia i zrosty na podanych przykładach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słowotwórczej podanych wyrazów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utworzyć wyrazy należące do konkretnych kategorii słowotwórczych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sporządzić wykresy rodziny wyrazów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łącznika w przymiotnikach złożonych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121., 122.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terminami i pojęciami: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powieść historyczna, podanie, fonetyka, typy głosek, akcent, upodobnienia, uproszczenia, słowotwórstwo, wyraz pochodny, typy formantów, rodzina wyrazów, wyrazy złożone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wykorzystać najważniejsze konteksty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uargumentować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wykorzystywać bogate konteksty 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123.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Dostrzec piękno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sztuka współczesna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opisać, co przedstawia obraz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obrazu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kompozycję obrazu do masowości obecnej we współczesnej kulturze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współczesnej kultury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specyfiki sztuki współczesnej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przygotować na podstawie wybranych źródeł prezentację na temat twórczości Warhola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 okiem poety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 w wierszu Rymkiewicza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opisy przejawów wiosny w treści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środków stylistycznych zastosowanych w wierszu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nawiązania biblijne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światła w wierszu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przesłanie wiersza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prezentację na temat ogrodów w różnych czasach i kulturach 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125.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Zatrzymać piękno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treść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wskazać, co szkodziło pięknej twarzy Nino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powiastka filozoficzna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Nino schował twarz do kuferka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frazeologizmów: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stracić twarz, zachować twarz, twarzą w twarz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pytania zadane przez uczonego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Kru</w:t>
            </w:r>
            <w:proofErr w:type="spellEnd"/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powiastki filozoficznej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symboliczne znaczenie chowania twarzy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przenośne znaczenie powiastki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powiastkę w kontekście mitu o Narcyzie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pogoni za pięknem cielesnym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pośród brzydoty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obóz koncentracyjny, piękno duchowe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narratorki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Suli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przywoływania tekstów antycznych w obozie koncentracyjnym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temat decyzji Suli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zanalizować tekst pod względem przeżywanych przez bohaterów emocji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istnienia wartości uniwersalnych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127.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zwykłych rzeczy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przeczytany wiersz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bohaterów wiersza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słownictwa i środków stylistycznych dla wymowy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wiersza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wiersza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własną wypowiedź, wydobywającą piękno codziennego przedmiotu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uwznioślenia codzienności w wybranym tekście kultury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128.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Ukryte piękno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fragmentu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czas i miejsce opisane we fragmencie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Myszkę i jej rodzinę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zachowania rodziców zdradzające ich stosunek do dziecka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w postawach obojga rodziców względem Myszki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tekst na części dotyczące najważniejszych problemów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bajki o Kopciuszku w tekście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społecznego odbioru ludzi z zespołem Downa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wybrany tekst kultury podejmujący problem społecznego funkcjonowania osób z niepełnosprawnością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 tworzenia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relacje pomiędzy podmiotem lirycznym a adresatem lirycznym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stylistyczne w wierszu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środków stylistycznych w wierszu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puentę utworu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zanalizować obraz Johna Williama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Waterhouse’a</w:t>
            </w:r>
            <w:proofErr w:type="spellEnd"/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130., 131.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Życiorys, CV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życiorys, CV (Curriculum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vitae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składają się życiorys i CV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informacje, które powinny się znaleźć w życiorysie i CV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uporządkować informacje niezbędne do sporządzenia życiorysu i CV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życiorysie i CV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życiorysu zredagować oficjalne CV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132., 133.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motywacyjny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list motywacyjny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list motywacyjny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informacje do listu motywacyjnego, który będzie odpowiedzią na podane ogłoszenia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uporządkować informacje potrzebne do listu motywacyjnego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rzetelność i wiarygodność podanych listów motywacyjnych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list motywacyjny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134.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Fotografia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najważniejsze wydarzenia z historii fotografii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rodzaje fotografii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przykłady fotografii należących do danych kategorii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wybraną fotografię według podanych kryteriów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roli światła w fotografii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wybraną fotografię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fotografię Charlesa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Ebbeta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wybraną fotografię artystyczną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135., 136.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imionach i nazwiskach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obrzędy nadawania imion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języki, z których wywodzą się imiona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historię nadawania nazwisk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zasady odmiany nazwisk żeńskich i nazwisk małżeństw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wytłumaczyć znaczenie podanych imion słowiańskich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użyć imion w wołaczu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nazwiska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swoje imię z uwzględnieniem podanych kryteriów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zanalizować różne nazwiska pod kątem ich pochodzenia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mody na konkretne imiona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imion biblijnych</w:t>
            </w: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137.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nazwach miejscowości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nazw miejscowości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zasadę zapisu dwuczłonowych nazw miejscowych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odmienić nazwy miejscowości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pochodzenie podanych nazw miejscowości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utworzyć nazwy mieszkanki i mieszkańca danego miasta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138. i 139. 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Najczęstsze błędy językowe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podział błędów językowych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odczytać podane wyrazy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podane słowa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sformułować związki frazeologiczne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 podanych przykładach wskazać sylaby akcentowane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tekstach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zdaniach błędnie użyte wyrazy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błędy stylistyczne w tekście i skorygować je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pleonazmy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podanych wyrażeniach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61C" w:rsidTr="00BC161C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140., 141</w:t>
            </w:r>
          </w:p>
          <w:p w:rsidR="00BC161C" w:rsidRDefault="00BC161C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posłużyć się terminami i 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życiorys, CV, list motywacyjny, nazwy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miejscowe, typy błędów językowych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wykorzystać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wnioski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zinterpretować wymagany materiał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uargumentować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uogólnić, podsumować i porównać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wykorzystać bogate konteksty </w:t>
            </w:r>
          </w:p>
          <w:p w:rsidR="00BC161C" w:rsidRDefault="00BC161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i rozwiązać problem badawczy</w:t>
            </w:r>
          </w:p>
        </w:tc>
      </w:tr>
    </w:tbl>
    <w:p w:rsidR="00BC161C" w:rsidRDefault="00BC161C" w:rsidP="00BC16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C161C" w:rsidRDefault="00BC161C" w:rsidP="00BC161C">
      <w:pPr>
        <w:ind w:left="4095"/>
        <w:jc w:val="both"/>
        <w:rPr>
          <w:rFonts w:ascii="Times New Roman" w:hAnsi="Times New Roman" w:cs="Times New Roman"/>
          <w:sz w:val="24"/>
          <w:szCs w:val="24"/>
        </w:rPr>
      </w:pPr>
    </w:p>
    <w:p w:rsidR="00BC161C" w:rsidRDefault="00BC161C"/>
    <w:sectPr w:rsidR="00BC161C" w:rsidSect="00BC16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6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161C"/>
    <w:rsid w:val="004902B0"/>
    <w:rsid w:val="004F1C6A"/>
    <w:rsid w:val="00753A0E"/>
    <w:rsid w:val="00BB3082"/>
    <w:rsid w:val="00BC161C"/>
    <w:rsid w:val="00DB5C2C"/>
    <w:rsid w:val="00F9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C2C"/>
  </w:style>
  <w:style w:type="paragraph" w:styleId="Nagwek1">
    <w:name w:val="heading 1"/>
    <w:basedOn w:val="Normalny"/>
    <w:next w:val="Normalny"/>
    <w:link w:val="Nagwek1Znak"/>
    <w:uiPriority w:val="9"/>
    <w:qFormat/>
    <w:rsid w:val="00BC16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161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BC161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C161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61C"/>
    <w:pPr>
      <w:suppressAutoHyphens/>
    </w:pPr>
    <w:rPr>
      <w:rFonts w:ascii="Calibri" w:eastAsia="Lucida Sans Unicode" w:hAnsi="Calibri" w:cs="Tahoma"/>
      <w:kern w:val="2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61C"/>
    <w:rPr>
      <w:rFonts w:ascii="Calibri" w:eastAsia="Lucida Sans Unicode" w:hAnsi="Calibri" w:cs="Tahoma"/>
      <w:kern w:val="2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C161C"/>
    <w:pPr>
      <w:tabs>
        <w:tab w:val="center" w:pos="4536"/>
        <w:tab w:val="right" w:pos="9072"/>
      </w:tabs>
      <w:suppressAutoHyphens/>
    </w:pPr>
    <w:rPr>
      <w:rFonts w:ascii="Calibri" w:eastAsia="Lucida Sans Unicode" w:hAnsi="Calibri" w:cs="Tahoma"/>
      <w:kern w:val="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C161C"/>
    <w:rPr>
      <w:rFonts w:ascii="Calibri" w:eastAsia="Lucida Sans Unicode" w:hAnsi="Calibri" w:cs="Tahoma"/>
      <w:kern w:val="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C161C"/>
    <w:pPr>
      <w:tabs>
        <w:tab w:val="center" w:pos="4536"/>
        <w:tab w:val="right" w:pos="9072"/>
      </w:tabs>
      <w:suppressAutoHyphens/>
    </w:pPr>
    <w:rPr>
      <w:rFonts w:ascii="Calibri" w:eastAsia="Lucida Sans Unicode" w:hAnsi="Calibri" w:cs="Tahoma"/>
      <w:kern w:val="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C161C"/>
    <w:rPr>
      <w:rFonts w:ascii="Calibri" w:eastAsia="Lucida Sans Unicode" w:hAnsi="Calibri" w:cs="Tahoma"/>
      <w:kern w:val="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61C"/>
    <w:pPr>
      <w:suppressAutoHyphens/>
    </w:pPr>
    <w:rPr>
      <w:rFonts w:ascii="Calibri" w:eastAsia="Lucida Sans Unicode" w:hAnsi="Calibri" w:cs="Tahoma"/>
      <w:kern w:val="2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61C"/>
    <w:rPr>
      <w:rFonts w:ascii="Calibri" w:eastAsia="Lucida Sans Unicode" w:hAnsi="Calibri" w:cs="Tahoma"/>
      <w:kern w:val="2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BC161C"/>
    <w:pPr>
      <w:widowControl w:val="0"/>
      <w:spacing w:before="37" w:after="0"/>
      <w:ind w:left="284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161C"/>
    <w:rPr>
      <w:rFonts w:ascii="Times New Roman" w:eastAsia="Times New Roman" w:hAnsi="Times New Roman" w:cs="Times New Roman"/>
      <w:lang w:val="en-US"/>
    </w:rPr>
  </w:style>
  <w:style w:type="paragraph" w:styleId="Lista">
    <w:name w:val="List"/>
    <w:basedOn w:val="Tekstpodstawowy"/>
    <w:uiPriority w:val="99"/>
    <w:semiHidden/>
    <w:unhideWhenUsed/>
    <w:rsid w:val="00BC161C"/>
    <w:pPr>
      <w:widowControl/>
      <w:suppressAutoHyphens/>
      <w:spacing w:before="0" w:after="140" w:line="288" w:lineRule="auto"/>
      <w:ind w:left="0"/>
      <w:jc w:val="left"/>
    </w:pPr>
    <w:rPr>
      <w:rFonts w:ascii="Calibri" w:eastAsia="Lucida Sans Unicode" w:hAnsi="Calibri" w:cs="Mangal"/>
      <w:kern w:val="2"/>
      <w:lang w:val="pl-PL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16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161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C16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C16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6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61C"/>
    <w:pPr>
      <w:suppressAutoHyphens/>
      <w:spacing w:after="0" w:line="240" w:lineRule="auto"/>
    </w:pPr>
    <w:rPr>
      <w:rFonts w:ascii="Segoe UI" w:eastAsia="Lucida Sans Unicode" w:hAnsi="Segoe UI" w:cs="Segoe UI"/>
      <w:kern w:val="2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61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styleId="Poprawka">
    <w:name w:val="Revision"/>
    <w:uiPriority w:val="99"/>
    <w:semiHidden/>
    <w:rsid w:val="00BC161C"/>
    <w:pPr>
      <w:spacing w:after="0" w:line="240" w:lineRule="auto"/>
    </w:pPr>
    <w:rPr>
      <w:rFonts w:ascii="Calibri" w:eastAsia="Lucida Sans Unicode" w:hAnsi="Calibri" w:cs="Tahoma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BC161C"/>
    <w:pPr>
      <w:ind w:left="720"/>
      <w:contextualSpacing/>
    </w:pPr>
  </w:style>
  <w:style w:type="paragraph" w:customStyle="1" w:styleId="Default">
    <w:name w:val="Default"/>
    <w:uiPriority w:val="99"/>
    <w:rsid w:val="00BC1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BC161C"/>
    <w:pPr>
      <w:keepNext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C161C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2"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C161C"/>
    <w:pPr>
      <w:suppressLineNumbers/>
      <w:suppressAutoHyphens/>
    </w:pPr>
    <w:rPr>
      <w:rFonts w:ascii="Calibri" w:eastAsia="Lucida Sans Unicode" w:hAnsi="Calibri" w:cs="Mangal"/>
      <w:kern w:val="2"/>
      <w:lang w:eastAsia="ar-SA"/>
    </w:rPr>
  </w:style>
  <w:style w:type="paragraph" w:customStyle="1" w:styleId="Akapitzlist1">
    <w:name w:val="Akapit z listą1"/>
    <w:basedOn w:val="Normalny"/>
    <w:uiPriority w:val="99"/>
    <w:rsid w:val="00BC161C"/>
    <w:pPr>
      <w:suppressAutoHyphens/>
      <w:ind w:left="720"/>
    </w:pPr>
    <w:rPr>
      <w:rFonts w:ascii="Calibri" w:eastAsia="Lucida Sans Unicode" w:hAnsi="Calibri" w:cs="Tahoma"/>
      <w:kern w:val="2"/>
      <w:lang w:eastAsia="ar-SA"/>
    </w:rPr>
  </w:style>
  <w:style w:type="paragraph" w:customStyle="1" w:styleId="Zawartotabeli">
    <w:name w:val="Zawartość tabeli"/>
    <w:basedOn w:val="Normalny"/>
    <w:uiPriority w:val="99"/>
    <w:rsid w:val="00BC161C"/>
    <w:pPr>
      <w:suppressLineNumbers/>
      <w:suppressAutoHyphens/>
    </w:pPr>
    <w:rPr>
      <w:rFonts w:ascii="Calibri" w:eastAsia="Lucida Sans Unicode" w:hAnsi="Calibri" w:cs="Tahoma"/>
      <w:kern w:val="2"/>
      <w:lang w:eastAsia="ar-SA"/>
    </w:rPr>
  </w:style>
  <w:style w:type="character" w:styleId="Odwoaniedokomentarza">
    <w:name w:val="annotation reference"/>
    <w:uiPriority w:val="99"/>
    <w:semiHidden/>
    <w:unhideWhenUsed/>
    <w:rsid w:val="00BC161C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BC161C"/>
    <w:rPr>
      <w:vertAlign w:val="superscript"/>
    </w:rPr>
  </w:style>
  <w:style w:type="character" w:customStyle="1" w:styleId="Domylnaczcionkaakapitu1">
    <w:name w:val="Domyślna czcionka akapitu1"/>
    <w:rsid w:val="00BC161C"/>
  </w:style>
  <w:style w:type="character" w:customStyle="1" w:styleId="ListLabel1">
    <w:name w:val="ListLabel 1"/>
    <w:rsid w:val="00BC161C"/>
    <w:rPr>
      <w:rFonts w:ascii="Calibri" w:eastAsia="Calibri" w:hAnsi="Calibri" w:cs="Calibri" w:hint="default"/>
    </w:rPr>
  </w:style>
  <w:style w:type="character" w:customStyle="1" w:styleId="ListLabel2">
    <w:name w:val="ListLabel 2"/>
    <w:rsid w:val="00BC161C"/>
    <w:rPr>
      <w:rFonts w:ascii="Courier New" w:hAnsi="Courier New" w:cs="Courier New" w:hint="default"/>
    </w:rPr>
  </w:style>
  <w:style w:type="character" w:customStyle="1" w:styleId="Symbolewypunktowania">
    <w:name w:val="Symbole wypunktowania"/>
    <w:rsid w:val="00BC161C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BC161C"/>
  </w:style>
  <w:style w:type="table" w:styleId="Tabela-Siatka">
    <w:name w:val="Table Grid"/>
    <w:basedOn w:val="Standardowy"/>
    <w:uiPriority w:val="59"/>
    <w:rsid w:val="00BC1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7254</Words>
  <Characters>43529</Characters>
  <Application>Microsoft Office Word</Application>
  <DocSecurity>0</DocSecurity>
  <Lines>362</Lines>
  <Paragraphs>101</Paragraphs>
  <ScaleCrop>false</ScaleCrop>
  <Company>Microsoft</Company>
  <LinksUpToDate>false</LinksUpToDate>
  <CharactersWithSpaces>50682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2019-01-28T18:58:00Z</dcterms:created>
  <dcterms:modified xsi:type="dcterms:W3CDTF">2019-01-28T18:58:00Z</dcterms:modified>
</cp:coreProperties>
</file>